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1A1A" w:sz="8" w:space="3"/>
        </w:pBdr>
        <w:spacing w:after="40"/>
        <w:jc w:val="center"/>
      </w:pPr>
      <w:r>
        <w:rPr>
          <w:rFonts w:ascii="Calibri" w:cs="Calibri" w:eastAsia="Calibri" w:hAnsi="Calibri"/>
          <w:b/>
          <w:bCs/>
          <w:color w:val="1A1A1A"/>
          <w:sz w:val="30"/>
          <w:szCs w:val="30"/>
        </w:rPr>
        <w:t xml:space="preserve">Keith J. Hetrick</w:t>
      </w:r>
    </w:p>
    <w:p>
      <w:pPr>
        <w:spacing w:after="80" w:before="60"/>
        <w:jc w:val="center"/>
      </w:pPr>
      <w:r>
        <w:rPr>
          <w:rFonts w:ascii="Calibri" w:cs="Calibri" w:eastAsia="Calibri" w:hAnsi="Calibri"/>
          <w:b w:val="false"/>
          <w:bCs w:val="false"/>
          <w:color w:val="595959"/>
          <w:sz w:val="17"/>
          <w:szCs w:val="17"/>
        </w:rPr>
        <w:t xml:space="preserve">Nashville, TN  ·  714-906-5470  ·  keithjhetrick@gmail.com  ·  github.com/keithhetrick  ·  keithhetrick.com  ·  linkedin.com/in/keith-justin-hetrick/</w:t>
      </w:r>
    </w:p>
    <w:p>
      <w:pPr>
        <w:spacing w:after="40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Engineer of correctness-critical systems: real-time audio DSP and governed context infrastructure for AI agents. A decade in commercial audio before I built tools for it. Solo-shipped Bellweather Studios' first plugin line, plus a governed context-layer backend AI agents consume read-only over MCP.</w:t>
      </w:r>
    </w:p>
    <w:p>
      <w:pPr>
        <w:spacing w:after="28" w:before="78"/>
        <w:jc w:val="center"/>
      </w:pPr>
      <w:r>
        <w:rPr>
          <w:rFonts w:ascii="Calibri" w:cs="Calibri" w:eastAsia="Calibri" w:hAnsi="Calibri"/>
          <w:b/>
          <w:bCs/>
          <w:color w:val="1A1A1A"/>
          <w:sz w:val="23"/>
          <w:szCs w:val="23"/>
        </w:rPr>
        <w:t xml:space="preserve">Experience</w:t>
      </w:r>
    </w:p>
    <w:p>
      <w:pPr>
        <w:tabs>
          <w:tab w:val="right" w:pos="11088"/>
        </w:tabs>
        <w:spacing w:after="0" w:before="5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Bellweather Studios</w:t>
      </w:r>
      <w:r>
        <w:rPr>
          <w:rFonts w:ascii="Calibri" w:cs="Calibri" w:eastAsia="Calibri" w:hAnsi="Calibri"/>
          <w:b w:val="false"/>
          <w:bCs w:val="false"/>
          <w:color w:val="1A1A1A"/>
          <w:sz w:val="18"/>
          <w:szCs w:val="18"/>
        </w:rPr>
        <w:t xml:space="preserve">	Remote</w:t>
      </w:r>
    </w:p>
    <w:p>
      <w:pPr>
        <w:tabs>
          <w:tab w:val="right" w:pos="11088"/>
        </w:tabs>
        <w:spacing w:after="0" w:before="5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Founder &amp; Lead Engineer</w:t>
      </w:r>
      <w:r>
        <w:rPr>
          <w:rFonts w:ascii="Calibri" w:cs="Calibri" w:eastAsia="Calibri" w:hAnsi="Calibri"/>
          <w:b w:val="false"/>
          <w:bCs w:val="false"/>
          <w:color w:val="595959"/>
          <w:sz w:val="18"/>
          <w:szCs w:val="18"/>
        </w:rPr>
        <w:t xml:space="preserve">	September 2025 - Present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Architected a cross-surface audio platform over 32 shared C++ modules feeding 8 apps. Native C++20 plugins across VST3, AU, AAX, CLAP, and Standalone, modeled after classic FET, opto, VCA, and vari-mu dynamics. Plus an Electron desktop app and AWS revenue infrastructure. First public release May 2026: signed, notarized, stapled. Bellweather Audio Core shipped as an open-source C++ audio-core library.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Built a format-aware release-validation orchestrator. It wraps VST3 (pluginval), AU (auval), CLAP (clap-validator), and AAX (DigiShell / AAX Validator) into canonical proof bundles per release. VST3 and AU qualify through Observatory, an in-house JUCE app, backed by 218 plugin test files.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Real-time audio path: lock-free atomics, zero heap allocation, Pimpl-isolated (~99% stack reduction). Each engine clears a 48 kHz / 512-sample block in 30-66 µs, under 1% of the real-time budget. A 7% per-engine regression gate holds it. Sanitizer-backed validation lanes (ASan/UBSan/TSan/RTSan) wired into the build matrix as first-class gates.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Stood up a mutation-testing pipeline after a DC-offset bug rode the existing coverage suite clean for months. The pipeline caught it; line coverage didn't.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Payment, email, and auth providers decoupled behind Zod-validated adapter boundaries. 107 pre-push gates enforce type strictness, secret hygiene, architecture drift, and reproducibility in ~20s. Escapes caught at the keyboard, not in CI.</w:t>
      </w:r>
    </w:p>
    <w:p>
      <w:pPr>
        <w:tabs>
          <w:tab w:val="right" w:pos="11088"/>
        </w:tabs>
        <w:spacing w:after="0" w:before="5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Confidential consumer-services agency</w:t>
      </w:r>
      <w:r>
        <w:rPr>
          <w:rFonts w:ascii="Calibri" w:cs="Calibri" w:eastAsia="Calibri" w:hAnsi="Calibri"/>
          <w:b w:val="false"/>
          <w:bCs w:val="false"/>
          <w:color w:val="1A1A1A"/>
          <w:sz w:val="18"/>
          <w:szCs w:val="18"/>
        </w:rPr>
        <w:t xml:space="preserve">	Remote</w:t>
      </w:r>
    </w:p>
    <w:p>
      <w:pPr>
        <w:tabs>
          <w:tab w:val="right" w:pos="11088"/>
        </w:tabs>
        <w:spacing w:after="0" w:before="5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Platform Engineer</w:t>
      </w:r>
      <w:r>
        <w:rPr>
          <w:rFonts w:ascii="Calibri" w:cs="Calibri" w:eastAsia="Calibri" w:hAnsi="Calibri"/>
          <w:b w:val="false"/>
          <w:bCs w:val="false"/>
          <w:color w:val="595959"/>
          <w:sz w:val="18"/>
          <w:szCs w:val="18"/>
        </w:rPr>
        <w:t xml:space="preserve">	May 2026 - Present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Architected and shipped a governed context layer. The agency's institutional knowledge (clients, campaigns, brand voice, guardrails, assets) became a Prisma-canonical Postgres system of record. 34 typed models over a single vocabulary, parity-checked against the schema by a commit-time drift gate. Every consumer, human or AI, reads structured operational truth rather than inferring it.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Modeled authority as data, not inference. Ownership-scoped RBAC: every state transition is legality-checked, then role-checked. Append-only audit on every mutation. Break-glass cannot express more than a reason-bound, time-ceilinged (≤24h), fully-audited exception. Cross-tenant isolation is proven through the composed adapter; rate limiting fails closed at boot. Governance enforced in code, not asserted in prose.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Built REST, CLI, and MCP projections from one credential-less in-process service: no token passthrough, the failure mode the MCP spec forbids. Internal fields are structurally unrepresentable in the projection type. Outputs verified byte-identical across transports under seeded multi-client tests. Held consistent across independent LLM vendors authenticating via OAuth 2.1 + dynamic client registration. In production use by a distributed team.</w:t>
      </w:r>
    </w:p>
    <w:p>
      <w:pPr>
        <w:pStyle w:val="ListParagraph"/>
        <w:numPr>
          <w:ilvl w:val="0"/>
          <w:numId w:val="1"/>
        </w:numPr>
        <w:spacing w:after="8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Extended the same governed record into a multi-tenant public-site renderer, now rendering client public sites live. Publishing is a data write, not a deploy. Content is snapshot-frozen and immutable at publish. Custom domains and per-tenant branding derive from the canonical data.</w:t>
      </w:r>
    </w:p>
    <w:p>
      <w:pPr>
        <w:tabs>
          <w:tab w:val="right" w:pos="11088"/>
        </w:tabs>
        <w:spacing w:after="0" w:before="5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West End Designs</w:t>
      </w:r>
      <w:r>
        <w:rPr>
          <w:rFonts w:ascii="Calibri" w:cs="Calibri" w:eastAsia="Calibri" w:hAnsi="Calibri"/>
          <w:b w:val="false"/>
          <w:bCs w:val="false"/>
          <w:color w:val="1A1A1A"/>
          <w:sz w:val="18"/>
          <w:szCs w:val="18"/>
        </w:rPr>
        <w:t xml:space="preserve">	Remote</w:t>
      </w:r>
    </w:p>
    <w:p>
      <w:pPr>
        <w:tabs>
          <w:tab w:val="right" w:pos="11088"/>
        </w:tabs>
        <w:spacing w:after="0" w:before="5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Contract Full-Stack Developer</w:t>
      </w:r>
      <w:r>
        <w:rPr>
          <w:rFonts w:ascii="Calibri" w:cs="Calibri" w:eastAsia="Calibri" w:hAnsi="Calibri"/>
          <w:b w:val="false"/>
          <w:bCs w:val="false"/>
          <w:color w:val="595959"/>
          <w:sz w:val="18"/>
          <w:szCs w:val="18"/>
        </w:rPr>
        <w:t xml:space="preserve">	August 2022 - May 2025</w:t>
      </w:r>
    </w:p>
    <w:p>
      <w:pPr>
        <w:spacing w:after="12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Shipped an internal employee authentication platform and an AI-powered SEO content generator. Built across Next.js, React, MongoDB, AWS, and Stripe, owning each from data model to deployment.</w:t>
      </w:r>
    </w:p>
    <w:p>
      <w:pPr>
        <w:spacing w:after="28" w:before="78"/>
        <w:jc w:val="center"/>
      </w:pPr>
      <w:r>
        <w:rPr>
          <w:rFonts w:ascii="Calibri" w:cs="Calibri" w:eastAsia="Calibri" w:hAnsi="Calibri"/>
          <w:b/>
          <w:bCs/>
          <w:color w:val="1A1A1A"/>
          <w:sz w:val="23"/>
          <w:szCs w:val="23"/>
        </w:rPr>
        <w:t xml:space="preserve">Skills</w:t>
      </w:r>
    </w:p>
    <w:p>
      <w:pPr>
        <w:spacing w:after="6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Core: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C++20, C, TypeScript, Python</w:t>
      </w:r>
    </w:p>
    <w:p>
      <w:pPr>
        <w:spacing w:after="6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Audio: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JUCE, CMake, VST3, AU, AAX, CLAP, Real-time DSP, Real-time Metering, BS.1770 / EBU R128, Lock-free</w:t>
      </w:r>
    </w:p>
    <w:p>
      <w:pPr>
        <w:spacing w:after="6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Web &amp; Desktop: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Next.js, React, Electron, Zod</w:t>
      </w:r>
    </w:p>
    <w:p>
      <w:pPr>
        <w:spacing w:after="6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Infrastructure: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AWS ECS Fargate, Docker / ECR, ALB, S3 / CloudFront, Vercel, Neon PostgreSQL, CI/CD, GitHub Actions</w:t>
      </w:r>
    </w:p>
    <w:p>
      <w:pPr>
        <w:spacing w:after="6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Testing &amp; Quality: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Catch2, Playwright, Vitest, Mutation Testing, Sanitizers (ASan/UBSan/TSan/RTSan), Code-signing / Notarization</w:t>
      </w:r>
    </w:p>
    <w:p>
      <w:pPr>
        <w:spacing w:after="6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Context Infrastructure: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Governed Context Layer, Model Context Protocol (MCP), Context Engineering, Authorization-as-data, Append-only Audit, Multi-tenant, System of Record, OAuth 2.1</w:t>
      </w:r>
    </w:p>
    <w:p>
      <w:pPr>
        <w:spacing w:after="6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Domains:</w:t>
      </w: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 DSP / Real-time Systems, Platform Engineering, Distributed Systems, Observability, SaaS Architecture</w:t>
      </w:r>
    </w:p>
    <w:p>
      <w:pPr>
        <w:spacing w:after="28" w:before="78"/>
        <w:jc w:val="center"/>
      </w:pPr>
      <w:r>
        <w:rPr>
          <w:rFonts w:ascii="Calibri" w:cs="Calibri" w:eastAsia="Calibri" w:hAnsi="Calibri"/>
          <w:b/>
          <w:bCs/>
          <w:color w:val="1A1A1A"/>
          <w:sz w:val="23"/>
          <w:szCs w:val="23"/>
        </w:rPr>
        <w:t xml:space="preserve">Selected Projects</w:t>
      </w:r>
    </w:p>
    <w:p>
      <w:pPr>
        <w:spacing w:after="6" w:before="4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Bellweather Audio Core</w:t>
      </w:r>
    </w:p>
    <w:p>
      <w:pPr>
        <w:spacing w:after="12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Open-source (Apache-2.0) C++ audio core, extracted from the commercial platform behind an enforced public-surface boundary. Ships BS.1770 / EBU Tech 3341 conformance tests, RT-safety primitives, and Barometer as a source-built JUCE reference plugin.</w:t>
      </w:r>
    </w:p>
    <w:p>
      <w:pPr>
        <w:spacing w:after="6" w:before="4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Bellweather Studios Platform</w:t>
      </w:r>
    </w:p>
    <w:p>
      <w:pPr>
        <w:spacing w:after="12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Six plugin instruments: Pressure, Barometer, Stratus, Ceiling, Flux, Equilibrium. Weather Station Electron desktop app. Website (Vercel frontend + auth gate). backend-api (AWS ECS Fargate revenue runtime). In-house tooling: Observatory, Ground Control, Mission Control.</w:t>
      </w:r>
    </w:p>
    <w:p>
      <w:pPr>
        <w:spacing w:after="6" w:before="4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Cupola: Architecture Visualization</w:t>
      </w:r>
    </w:p>
    <w:p>
      <w:pPr>
        <w:spacing w:after="12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Interactive 3D rendering of the platform signal chain using Three.js and React Three Fiber. Live topology with spring physics and postprocessing.</w:t>
      </w:r>
    </w:p>
    <w:p>
      <w:pPr>
        <w:spacing w:after="28" w:before="78"/>
        <w:jc w:val="center"/>
      </w:pPr>
      <w:r>
        <w:rPr>
          <w:rFonts w:ascii="Calibri" w:cs="Calibri" w:eastAsia="Calibri" w:hAnsi="Calibri"/>
          <w:b/>
          <w:bCs/>
          <w:color w:val="1A1A1A"/>
          <w:sz w:val="23"/>
          <w:szCs w:val="23"/>
        </w:rPr>
        <w:t xml:space="preserve">Background</w:t>
      </w:r>
    </w:p>
    <w:p>
      <w:pPr>
        <w:spacing w:after="12"/>
      </w:pPr>
      <w:r>
        <w:rPr>
          <w:rFonts w:ascii="Calibri" w:cs="Calibri" w:eastAsia="Calibri" w:hAnsi="Calibri"/>
          <w:b w:val="false"/>
          <w:bCs w:val="false"/>
          <w:color w:val="1A1A1A"/>
          <w:sz w:val="19"/>
          <w:szCs w:val="19"/>
        </w:rPr>
        <w:t xml:space="preserve">Grammy-nominated; credits with Charlie Wilson, Jennifer Lopez, Boyz II Men, Snoop Dogg, and T.I. over 1B+ cumulative streams and a Billboard #1.</w:t>
      </w:r>
    </w:p>
    <w:sectPr>
      <w:pgSz w:w="12240" w:h="15840" w:orient="portrait"/>
      <w:pgMar w:top="504" w:right="576" w:bottom="360" w:left="57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9"/>
        <w:szCs w:val="19"/>
      </w:rPr>
    </w:rPrDefault>
    <w:pPrDefault>
      <w:pPr>
        <w:spacing w:line="2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2026-07-15T12:29:29.031Z</dcterms:created>
  <dcterms:modified xsi:type="dcterms:W3CDTF">2026-07-15T12:29:29.031Z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